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A5" w:rsidRDefault="002677B8">
      <w:pPr>
        <w:spacing w:line="580" w:lineRule="exact"/>
        <w:outlineLvl w:val="0"/>
        <w:rPr>
          <w:rFonts w:ascii="黑体" w:eastAsia="黑体" w:hAnsi="黑体"/>
          <w:sz w:val="36"/>
          <w:szCs w:val="36"/>
        </w:rPr>
      </w:pPr>
      <w:bookmarkStart w:id="0" w:name="_Toc7435"/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1</w:t>
      </w:r>
    </w:p>
    <w:p w:rsidR="003D15A5" w:rsidRDefault="003D15A5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3D15A5" w:rsidRDefault="002677B8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2024</w:t>
      </w:r>
      <w:r>
        <w:rPr>
          <w:rFonts w:ascii="黑体" w:eastAsia="黑体" w:hAnsi="黑体" w:hint="eastAsia"/>
          <w:b/>
          <w:bCs/>
          <w:sz w:val="44"/>
          <w:szCs w:val="44"/>
        </w:rPr>
        <w:t>年“保龄铺设健康大道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bCs/>
          <w:sz w:val="44"/>
          <w:szCs w:val="44"/>
        </w:rPr>
        <w:t>健身成就幸福人生”全民健身大联动</w:t>
      </w:r>
    </w:p>
    <w:p w:rsidR="003D15A5" w:rsidRDefault="002677B8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北京市保龄球</w:t>
      </w:r>
      <w:proofErr w:type="gramStart"/>
      <w:r>
        <w:rPr>
          <w:rFonts w:ascii="黑体" w:eastAsia="黑体" w:hAnsi="黑体" w:hint="eastAsia"/>
          <w:b/>
          <w:bCs/>
          <w:sz w:val="44"/>
          <w:szCs w:val="44"/>
        </w:rPr>
        <w:t>健身联赛</w:t>
      </w:r>
      <w:proofErr w:type="gramEnd"/>
      <w:r>
        <w:rPr>
          <w:rFonts w:ascii="黑体" w:eastAsia="黑体" w:hAnsi="黑体" w:hint="eastAsia"/>
          <w:b/>
          <w:bCs/>
          <w:sz w:val="44"/>
          <w:szCs w:val="44"/>
        </w:rPr>
        <w:t>竞赛规程</w:t>
      </w:r>
      <w:bookmarkEnd w:id="0"/>
    </w:p>
    <w:p w:rsidR="003D15A5" w:rsidRDefault="003D15A5">
      <w:pPr>
        <w:spacing w:line="580" w:lineRule="exact"/>
        <w:rPr>
          <w:rFonts w:ascii="楷体" w:eastAsia="楷体" w:hAnsi="楷体"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sz w:val="28"/>
          <w:szCs w:val="28"/>
        </w:rPr>
      </w:pPr>
      <w:bookmarkStart w:id="1" w:name="_Toc27173"/>
      <w:r>
        <w:rPr>
          <w:rFonts w:ascii="仿宋" w:eastAsia="仿宋" w:hAnsi="仿宋" w:cs="仿宋" w:hint="eastAsia"/>
          <w:b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主办</w:t>
      </w:r>
      <w:r>
        <w:rPr>
          <w:rFonts w:ascii="仿宋" w:eastAsia="仿宋" w:hAnsi="仿宋" w:cs="仿宋" w:hint="eastAsia"/>
          <w:b/>
          <w:sz w:val="28"/>
          <w:szCs w:val="28"/>
        </w:rPr>
        <w:t>单位</w:t>
      </w:r>
      <w:bookmarkEnd w:id="1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北京市保龄球运动协会</w:t>
      </w:r>
    </w:p>
    <w:p w:rsidR="003D15A5" w:rsidRDefault="003D15A5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2" w:name="_Toc38"/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sz w:val="28"/>
          <w:szCs w:val="28"/>
        </w:rPr>
        <w:t>单位</w:t>
      </w:r>
      <w:bookmarkEnd w:id="2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北京市东城区保龄球协会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北京恒博健身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体育有限责任公司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北京东环保龄球馆</w:t>
      </w:r>
    </w:p>
    <w:p w:rsidR="003D15A5" w:rsidRDefault="003D15A5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3" w:name="_GoBack"/>
      <w:bookmarkStart w:id="4" w:name="_Toc8934"/>
      <w:bookmarkEnd w:id="3"/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比</w:t>
      </w:r>
      <w:r>
        <w:rPr>
          <w:rFonts w:ascii="仿宋" w:eastAsia="仿宋" w:hAnsi="仿宋" w:cs="仿宋" w:hint="eastAsia"/>
          <w:b/>
          <w:sz w:val="28"/>
          <w:szCs w:val="28"/>
        </w:rPr>
        <w:t>赛时间及地点</w:t>
      </w:r>
      <w:bookmarkEnd w:id="4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第一站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拟定于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第二站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拟定于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第三站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拟定于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站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拟定于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比赛具体时间场馆</w:t>
      </w:r>
      <w:r>
        <w:rPr>
          <w:rFonts w:ascii="仿宋" w:eastAsia="仿宋" w:hAnsi="仿宋" w:cs="仿宋" w:hint="eastAsia"/>
          <w:sz w:val="28"/>
          <w:szCs w:val="28"/>
        </w:rPr>
        <w:t>以赛前通知为准）</w:t>
      </w:r>
    </w:p>
    <w:p w:rsidR="003D15A5" w:rsidRDefault="003D15A5">
      <w:pPr>
        <w:spacing w:line="580" w:lineRule="exact"/>
        <w:rPr>
          <w:rFonts w:ascii="仿宋" w:eastAsia="仿宋" w:hAnsi="仿宋" w:cs="仿宋"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5" w:name="_Toc13904"/>
      <w:r>
        <w:rPr>
          <w:rFonts w:ascii="仿宋" w:eastAsia="仿宋" w:hAnsi="仿宋" w:cs="仿宋" w:hint="eastAsia"/>
          <w:b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sz w:val="28"/>
          <w:szCs w:val="28"/>
        </w:rPr>
        <w:t>、竞赛项目</w:t>
      </w:r>
      <w:bookmarkEnd w:id="5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双人贝克赛、三人贝克赛、五人贝克赛</w:t>
      </w: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6" w:name="_Toc19267"/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五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竞赛项目要求</w:t>
      </w:r>
      <w:bookmarkEnd w:id="6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参加双人贝克赛的选手不得重复参加三人贝克赛。</w:t>
      </w:r>
    </w:p>
    <w:p w:rsidR="003D15A5" w:rsidRDefault="003D15A5">
      <w:pPr>
        <w:spacing w:line="580" w:lineRule="exact"/>
        <w:rPr>
          <w:rFonts w:ascii="仿宋" w:eastAsia="仿宋" w:hAnsi="仿宋" w:cs="仿宋"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7" w:name="_Toc6218"/>
      <w:r>
        <w:rPr>
          <w:rFonts w:ascii="仿宋" w:eastAsia="仿宋" w:hAnsi="仿宋" w:cs="仿宋" w:hint="eastAsia"/>
          <w:b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sz w:val="28"/>
          <w:szCs w:val="28"/>
        </w:rPr>
        <w:t>、竞赛</w:t>
      </w:r>
      <w:r>
        <w:rPr>
          <w:rFonts w:ascii="仿宋" w:eastAsia="仿宋" w:hAnsi="仿宋" w:cs="仿宋" w:hint="eastAsia"/>
          <w:b/>
          <w:sz w:val="28"/>
          <w:szCs w:val="28"/>
        </w:rPr>
        <w:t>标准</w:t>
      </w:r>
      <w:bookmarkEnd w:id="7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落油标准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普通落油机，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英尺重油拖至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英尺（每场清洗球道）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比赛</w:t>
      </w:r>
      <w:r>
        <w:rPr>
          <w:rFonts w:ascii="仿宋" w:eastAsia="仿宋" w:hAnsi="仿宋" w:cs="仿宋" w:hint="eastAsia"/>
          <w:sz w:val="28"/>
          <w:szCs w:val="28"/>
        </w:rPr>
        <w:t>开启犯规线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D15A5" w:rsidRDefault="003D15A5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8" w:name="_Toc24897"/>
      <w:r>
        <w:rPr>
          <w:rFonts w:ascii="仿宋" w:eastAsia="仿宋" w:hAnsi="仿宋" w:cs="仿宋" w:hint="eastAsia"/>
          <w:b/>
          <w:sz w:val="28"/>
          <w:szCs w:val="28"/>
        </w:rPr>
        <w:t>七</w:t>
      </w:r>
      <w:r>
        <w:rPr>
          <w:rFonts w:ascii="仿宋" w:eastAsia="仿宋" w:hAnsi="仿宋" w:cs="仿宋" w:hint="eastAsia"/>
          <w:b/>
          <w:sz w:val="28"/>
          <w:szCs w:val="28"/>
        </w:rPr>
        <w:t>、竞赛办法</w:t>
      </w:r>
      <w:bookmarkEnd w:id="8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双人贝克赛、三人贝克赛及五人贝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克赛指本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队参赛成员按照每人一格的投球顺序完成一局比赛，全部比赛期间不允许变更投球顺序，错误的投球顺序被视为故意犯规，其错误的那一格分数为“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双人贝克赛为两局制、三人贝克赛为三局制，五人贝克赛为五局制，每局比赛结束后整体向右移动一条球道。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记分方法：双人贝克赛、三人贝克赛及五人贝克赛每局比赛结束后均按照实际分数排名，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按</w:t>
      </w:r>
      <w:r>
        <w:rPr>
          <w:rFonts w:ascii="仿宋" w:eastAsia="仿宋" w:hAnsi="仿宋" w:cs="仿宋" w:hint="eastAsia"/>
          <w:sz w:val="28"/>
          <w:szCs w:val="28"/>
        </w:rPr>
        <w:t>队伍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数量从高到底（如：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个单位参加比赛，第一名记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分，第二名记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......</w:t>
      </w:r>
      <w:r>
        <w:rPr>
          <w:rFonts w:ascii="仿宋" w:eastAsia="仿宋" w:hAnsi="仿宋" w:cs="仿宋" w:hint="eastAsia"/>
          <w:sz w:val="28"/>
          <w:szCs w:val="28"/>
        </w:rPr>
        <w:t>第十二名记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分）给予本局积分</w:t>
      </w:r>
      <w:r>
        <w:rPr>
          <w:rFonts w:ascii="仿宋" w:eastAsia="仿宋" w:hAnsi="仿宋" w:cs="仿宋" w:hint="eastAsia"/>
          <w:sz w:val="28"/>
          <w:szCs w:val="28"/>
        </w:rPr>
        <w:t>，全部比赛结束后，各队按十局总</w:t>
      </w:r>
      <w:r>
        <w:rPr>
          <w:rFonts w:ascii="仿宋" w:eastAsia="仿宋" w:hAnsi="仿宋" w:cs="仿宋" w:hint="eastAsia"/>
          <w:sz w:val="28"/>
          <w:szCs w:val="28"/>
        </w:rPr>
        <w:t>积分</w:t>
      </w:r>
      <w:r>
        <w:rPr>
          <w:rFonts w:ascii="仿宋" w:eastAsia="仿宋" w:hAnsi="仿宋" w:cs="仿宋" w:hint="eastAsia"/>
          <w:sz w:val="28"/>
          <w:szCs w:val="28"/>
        </w:rPr>
        <w:t>值排列名次。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同分裁决：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单局比赛出现同分时，不加分者列前，加分少者列前，条件相同时同取</w:t>
      </w:r>
      <w:r>
        <w:rPr>
          <w:rFonts w:ascii="仿宋" w:eastAsia="仿宋" w:hAnsi="仿宋" w:cs="仿宋" w:hint="eastAsia"/>
          <w:sz w:val="28"/>
          <w:szCs w:val="28"/>
        </w:rPr>
        <w:t>高限积分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）十局总分值出现同分时，按照单局获得第一名次数多的在前，第一名次数相同，则以获得单局第二名次数多者在前，以此类推。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）分站赛积分出现同分时，按照分站赛获得第一名次数</w:t>
      </w:r>
      <w:r>
        <w:rPr>
          <w:rFonts w:ascii="仿宋" w:eastAsia="仿宋" w:hAnsi="仿宋" w:cs="仿宋" w:hint="eastAsia"/>
          <w:sz w:val="28"/>
          <w:szCs w:val="28"/>
        </w:rPr>
        <w:t>多的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在前，第一名次数相同，则以获得分站赛第二名次数多的在前，以此类推。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加分</w:t>
      </w:r>
      <w:r>
        <w:rPr>
          <w:rFonts w:ascii="仿宋" w:eastAsia="仿宋" w:hAnsi="仿宋" w:cs="仿宋" w:hint="eastAsia"/>
          <w:sz w:val="28"/>
          <w:szCs w:val="28"/>
        </w:rPr>
        <w:t>规则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）加分</w:t>
      </w:r>
      <w:r>
        <w:rPr>
          <w:rFonts w:ascii="仿宋" w:eastAsia="仿宋" w:hAnsi="仿宋" w:cs="仿宋" w:hint="eastAsia"/>
          <w:sz w:val="28"/>
          <w:szCs w:val="28"/>
        </w:rPr>
        <w:t>条件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女子、直线球选手及男子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岁</w:t>
      </w:r>
      <w:r>
        <w:rPr>
          <w:rFonts w:ascii="仿宋" w:eastAsia="仿宋" w:hAnsi="仿宋" w:cs="仿宋" w:hint="eastAsia"/>
          <w:sz w:val="28"/>
          <w:szCs w:val="28"/>
        </w:rPr>
        <w:t>~70</w:t>
      </w:r>
      <w:r>
        <w:rPr>
          <w:rFonts w:ascii="仿宋" w:eastAsia="仿宋" w:hAnsi="仿宋" w:cs="仿宋" w:hint="eastAsia"/>
          <w:sz w:val="28"/>
          <w:szCs w:val="28"/>
        </w:rPr>
        <w:t>岁选手，每局加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分；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男子</w:t>
      </w:r>
      <w:r>
        <w:rPr>
          <w:rFonts w:ascii="仿宋" w:eastAsia="仿宋" w:hAnsi="仿宋" w:cs="仿宋" w:hint="eastAsia"/>
          <w:sz w:val="28"/>
          <w:szCs w:val="28"/>
        </w:rPr>
        <w:t>70</w:t>
      </w:r>
      <w:r>
        <w:rPr>
          <w:rFonts w:ascii="仿宋" w:eastAsia="仿宋" w:hAnsi="仿宋" w:cs="仿宋" w:hint="eastAsia"/>
          <w:sz w:val="28"/>
          <w:szCs w:val="28"/>
        </w:rPr>
        <w:t>岁（含</w:t>
      </w:r>
      <w:r>
        <w:rPr>
          <w:rFonts w:ascii="仿宋" w:eastAsia="仿宋" w:hAnsi="仿宋" w:cs="仿宋" w:hint="eastAsia"/>
          <w:sz w:val="28"/>
          <w:szCs w:val="28"/>
        </w:rPr>
        <w:t>70</w:t>
      </w:r>
      <w:r>
        <w:rPr>
          <w:rFonts w:ascii="仿宋" w:eastAsia="仿宋" w:hAnsi="仿宋" w:cs="仿宋" w:hint="eastAsia"/>
          <w:sz w:val="28"/>
          <w:szCs w:val="28"/>
        </w:rPr>
        <w:t>岁）以上、女子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岁（含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岁）以上选手每局加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分；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青少年选手（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岁以下不含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岁），每局加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分。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）封顶规则：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加分封顶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双人贝克，封顶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分；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三人贝克封顶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分；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五人贝克封顶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-2024</w:t>
      </w:r>
      <w:r>
        <w:rPr>
          <w:rFonts w:ascii="仿宋" w:eastAsia="仿宋" w:hAnsi="仿宋" w:cs="仿宋" w:hint="eastAsia"/>
          <w:sz w:val="28"/>
          <w:szCs w:val="28"/>
        </w:rPr>
        <w:t>年入选北京保龄球集训队、各级国家队（含青少年）的俱乐部成员不予加分。</w:t>
      </w:r>
    </w:p>
    <w:p w:rsidR="003D15A5" w:rsidRDefault="003D15A5">
      <w:pPr>
        <w:spacing w:line="580" w:lineRule="exact"/>
        <w:rPr>
          <w:rFonts w:ascii="仿宋" w:eastAsia="仿宋" w:hAnsi="仿宋" w:cs="仿宋"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9" w:name="_Toc15143"/>
      <w:r>
        <w:rPr>
          <w:rFonts w:ascii="仿宋" w:eastAsia="仿宋" w:hAnsi="仿宋" w:cs="仿宋" w:hint="eastAsia"/>
          <w:b/>
          <w:sz w:val="28"/>
          <w:szCs w:val="28"/>
        </w:rPr>
        <w:t>八</w:t>
      </w:r>
      <w:r>
        <w:rPr>
          <w:rFonts w:ascii="仿宋" w:eastAsia="仿宋" w:hAnsi="仿宋" w:cs="仿宋" w:hint="eastAsia"/>
          <w:b/>
          <w:sz w:val="28"/>
          <w:szCs w:val="28"/>
        </w:rPr>
        <w:t>、裁判及规则要求</w:t>
      </w:r>
      <w:bookmarkEnd w:id="9"/>
    </w:p>
    <w:p w:rsidR="003D15A5" w:rsidRDefault="002677B8" w:rsidP="002B665A">
      <w:pPr>
        <w:spacing w:line="5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全部比赛均由</w:t>
      </w:r>
      <w:r>
        <w:rPr>
          <w:rFonts w:ascii="仿宋" w:eastAsia="仿宋" w:hAnsi="仿宋" w:cs="仿宋" w:hint="eastAsia"/>
          <w:sz w:val="28"/>
          <w:szCs w:val="28"/>
        </w:rPr>
        <w:t>北京市保龄球运动协会</w:t>
      </w:r>
      <w:r>
        <w:rPr>
          <w:rFonts w:ascii="仿宋" w:eastAsia="仿宋" w:hAnsi="仿宋" w:cs="仿宋" w:hint="eastAsia"/>
          <w:sz w:val="28"/>
          <w:szCs w:val="28"/>
        </w:rPr>
        <w:t>派出专业保龄球裁判全程执裁，以保证比赛的严肃、公正、公平。比赛将严格遵守</w:t>
      </w:r>
      <w:r>
        <w:rPr>
          <w:rFonts w:ascii="仿宋" w:eastAsia="仿宋" w:hAnsi="仿宋" w:cs="仿宋" w:hint="eastAsia"/>
          <w:sz w:val="28"/>
          <w:szCs w:val="28"/>
        </w:rPr>
        <w:t>WORLD BOWLING</w:t>
      </w:r>
      <w:r>
        <w:rPr>
          <w:rFonts w:ascii="仿宋" w:eastAsia="仿宋" w:hAnsi="仿宋" w:cs="仿宋" w:hint="eastAsia"/>
          <w:sz w:val="28"/>
          <w:szCs w:val="28"/>
        </w:rPr>
        <w:t>竞赛规则。</w:t>
      </w:r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参赛俱乐部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需着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统一服装</w:t>
      </w:r>
    </w:p>
    <w:p w:rsidR="003D15A5" w:rsidRDefault="002677B8">
      <w:pPr>
        <w:spacing w:line="58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参赛服装上身服饰：统一样式的短袖</w:t>
      </w:r>
      <w:r>
        <w:rPr>
          <w:rFonts w:ascii="仿宋" w:eastAsia="仿宋" w:hAnsi="仿宋" w:cs="仿宋" w:hint="eastAsia"/>
          <w:sz w:val="28"/>
          <w:szCs w:val="28"/>
        </w:rPr>
        <w:t>T</w:t>
      </w:r>
      <w:r>
        <w:rPr>
          <w:rFonts w:ascii="仿宋" w:eastAsia="仿宋" w:hAnsi="仿宋" w:cs="仿宋" w:hint="eastAsia"/>
          <w:sz w:val="28"/>
          <w:szCs w:val="28"/>
        </w:rPr>
        <w:t>恤衫或短袖</w:t>
      </w:r>
      <w:r>
        <w:rPr>
          <w:rFonts w:ascii="仿宋" w:eastAsia="仿宋" w:hAnsi="仿宋" w:cs="仿宋" w:hint="eastAsia"/>
          <w:sz w:val="28"/>
          <w:szCs w:val="28"/>
        </w:rPr>
        <w:t>POLO</w:t>
      </w:r>
      <w:r>
        <w:rPr>
          <w:rFonts w:ascii="仿宋" w:eastAsia="仿宋" w:hAnsi="仿宋" w:cs="仿宋" w:hint="eastAsia"/>
          <w:sz w:val="28"/>
          <w:szCs w:val="28"/>
        </w:rPr>
        <w:t>衫，可包含俱乐部名称、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，球员姓名、与组委会要求或允许张贴悬挂的标志。</w:t>
      </w:r>
    </w:p>
    <w:p w:rsidR="003D15A5" w:rsidRDefault="002677B8" w:rsidP="002B665A">
      <w:pPr>
        <w:spacing w:line="5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参赛服装的下身服饰：男士为统一颜色深色长裤，女士为统一颜色深色长裤或裙裤。不允许包含花格、大型图案、花纹等装饰性条纹。</w:t>
      </w:r>
    </w:p>
    <w:p w:rsidR="003D15A5" w:rsidRDefault="002677B8" w:rsidP="002B665A">
      <w:pPr>
        <w:spacing w:line="5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参赛俱乐部未统一服装的，仲裁委员会有权对该俱乐部进行处罚，处罚标准由组委会制定。</w:t>
      </w:r>
    </w:p>
    <w:p w:rsidR="003D15A5" w:rsidRDefault="002677B8" w:rsidP="002B665A">
      <w:pPr>
        <w:spacing w:line="5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参赛俱乐部所有比赛队员必须严格按照比赛时间检录，凡无故迟到的，该场次比赛按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分处理。</w:t>
      </w:r>
    </w:p>
    <w:p w:rsidR="003D15A5" w:rsidRDefault="002677B8" w:rsidP="002B665A">
      <w:pPr>
        <w:spacing w:line="580" w:lineRule="exact"/>
        <w:ind w:firstLineChars="196" w:firstLine="549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比赛过程中，对于有争议的判罚，球员应服从裁判员的执裁，申诉应由俱乐部出面向组委会提出。一切不服从裁判的个人行为，组委会均有权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处罚。</w:t>
      </w:r>
    </w:p>
    <w:p w:rsidR="003D15A5" w:rsidRDefault="003D15A5">
      <w:pPr>
        <w:spacing w:line="580" w:lineRule="exact"/>
        <w:rPr>
          <w:rFonts w:ascii="仿宋" w:eastAsia="仿宋" w:hAnsi="仿宋" w:cs="仿宋"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10" w:name="_Toc9452"/>
      <w:r>
        <w:rPr>
          <w:rFonts w:ascii="仿宋" w:eastAsia="仿宋" w:hAnsi="仿宋" w:cs="仿宋" w:hint="eastAsia"/>
          <w:b/>
          <w:sz w:val="28"/>
          <w:szCs w:val="28"/>
        </w:rPr>
        <w:t>九</w:t>
      </w:r>
      <w:r>
        <w:rPr>
          <w:rFonts w:ascii="仿宋" w:eastAsia="仿宋" w:hAnsi="仿宋" w:cs="仿宋" w:hint="eastAsia"/>
          <w:b/>
          <w:sz w:val="28"/>
          <w:szCs w:val="28"/>
        </w:rPr>
        <w:t>、报名</w:t>
      </w:r>
      <w:bookmarkEnd w:id="10"/>
    </w:p>
    <w:p w:rsidR="003D15A5" w:rsidRDefault="002677B8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报名方式：比赛前</w:t>
      </w:r>
      <w:r>
        <w:rPr>
          <w:rFonts w:ascii="仿宋" w:eastAsia="仿宋" w:hAnsi="仿宋" w:cs="仿宋" w:hint="eastAsia"/>
          <w:sz w:val="28"/>
          <w:szCs w:val="28"/>
        </w:rPr>
        <w:t>按通知时间</w:t>
      </w:r>
      <w:r>
        <w:rPr>
          <w:rFonts w:ascii="仿宋" w:eastAsia="仿宋" w:hAnsi="仿宋" w:cs="仿宋" w:hint="eastAsia"/>
          <w:sz w:val="28"/>
          <w:szCs w:val="28"/>
        </w:rPr>
        <w:t>，每个俱乐部上报组委会参加双人贝克，三人贝克，五人贝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克比赛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的队员名单。</w:t>
      </w:r>
    </w:p>
    <w:p w:rsidR="003D15A5" w:rsidRDefault="003D15A5">
      <w:pPr>
        <w:spacing w:line="580" w:lineRule="exact"/>
        <w:rPr>
          <w:rFonts w:ascii="仿宋" w:eastAsia="仿宋" w:hAnsi="仿宋" w:cs="仿宋"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11" w:name="_Toc21929"/>
      <w:r>
        <w:rPr>
          <w:rFonts w:ascii="仿宋" w:eastAsia="仿宋" w:hAnsi="仿宋" w:cs="仿宋" w:hint="eastAsia"/>
          <w:b/>
          <w:sz w:val="28"/>
          <w:szCs w:val="28"/>
        </w:rPr>
        <w:t>十、未尽事宜另行通知</w:t>
      </w:r>
      <w:bookmarkEnd w:id="11"/>
    </w:p>
    <w:p w:rsidR="003D15A5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p w:rsidR="003D15A5" w:rsidRDefault="002677B8">
      <w:pPr>
        <w:spacing w:line="58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12" w:name="_Toc14151"/>
      <w:r>
        <w:rPr>
          <w:rFonts w:ascii="仿宋" w:eastAsia="仿宋" w:hAnsi="仿宋" w:cs="仿宋" w:hint="eastAsia"/>
          <w:b/>
          <w:sz w:val="28"/>
          <w:szCs w:val="28"/>
        </w:rPr>
        <w:t>十一、本规程最终解释权属北京市保龄球运动协会</w:t>
      </w:r>
      <w:bookmarkEnd w:id="12"/>
    </w:p>
    <w:p w:rsidR="003D15A5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p w:rsidR="003D15A5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p w:rsidR="003D15A5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p w:rsidR="003D15A5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p w:rsidR="003D15A5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p w:rsidR="003D15A5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p w:rsidR="003D15A5" w:rsidRPr="002B665A" w:rsidRDefault="003D15A5">
      <w:pPr>
        <w:spacing w:line="580" w:lineRule="exact"/>
        <w:rPr>
          <w:rFonts w:ascii="仿宋" w:eastAsia="仿宋" w:hAnsi="仿宋" w:cs="仿宋"/>
          <w:b/>
          <w:sz w:val="28"/>
          <w:szCs w:val="28"/>
        </w:rPr>
      </w:pPr>
    </w:p>
    <w:sectPr w:rsidR="003D15A5" w:rsidRPr="002B665A" w:rsidSect="003D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B8" w:rsidRDefault="002677B8" w:rsidP="002B665A">
      <w:r>
        <w:separator/>
      </w:r>
    </w:p>
  </w:endnote>
  <w:endnote w:type="continuationSeparator" w:id="0">
    <w:p w:rsidR="002677B8" w:rsidRDefault="002677B8" w:rsidP="002B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B8" w:rsidRDefault="002677B8" w:rsidP="002B665A">
      <w:r>
        <w:separator/>
      </w:r>
    </w:p>
  </w:footnote>
  <w:footnote w:type="continuationSeparator" w:id="0">
    <w:p w:rsidR="002677B8" w:rsidRDefault="002677B8" w:rsidP="002B6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jNjBkOTg5YjZmNjZhNGFlN2U2NWZjNTllYWM0NDgifQ=="/>
  </w:docVars>
  <w:rsids>
    <w:rsidRoot w:val="003D15A5"/>
    <w:rsid w:val="002677B8"/>
    <w:rsid w:val="002B665A"/>
    <w:rsid w:val="003D15A5"/>
    <w:rsid w:val="03CC33BD"/>
    <w:rsid w:val="05855A8B"/>
    <w:rsid w:val="15835B30"/>
    <w:rsid w:val="1FDC781F"/>
    <w:rsid w:val="23C0739C"/>
    <w:rsid w:val="2B263B54"/>
    <w:rsid w:val="3097108C"/>
    <w:rsid w:val="3B6168C7"/>
    <w:rsid w:val="42F63C70"/>
    <w:rsid w:val="435E4599"/>
    <w:rsid w:val="4A4462D6"/>
    <w:rsid w:val="4D827AEA"/>
    <w:rsid w:val="4FEA4B83"/>
    <w:rsid w:val="540571EB"/>
    <w:rsid w:val="62D31026"/>
    <w:rsid w:val="6586246E"/>
    <w:rsid w:val="68B634CD"/>
    <w:rsid w:val="705D6911"/>
    <w:rsid w:val="712F71B7"/>
    <w:rsid w:val="715C02C6"/>
    <w:rsid w:val="747D0997"/>
    <w:rsid w:val="7867742D"/>
    <w:rsid w:val="79B55901"/>
    <w:rsid w:val="7F16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D15A5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D15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15A5"/>
    <w:pPr>
      <w:ind w:firstLineChars="200" w:firstLine="420"/>
    </w:pPr>
  </w:style>
  <w:style w:type="paragraph" w:styleId="a6">
    <w:name w:val="header"/>
    <w:basedOn w:val="a"/>
    <w:link w:val="Char"/>
    <w:rsid w:val="002B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B665A"/>
    <w:rPr>
      <w:kern w:val="2"/>
      <w:sz w:val="18"/>
      <w:szCs w:val="18"/>
    </w:rPr>
  </w:style>
  <w:style w:type="paragraph" w:styleId="a7">
    <w:name w:val="footer"/>
    <w:basedOn w:val="a"/>
    <w:link w:val="Char0"/>
    <w:rsid w:val="002B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B66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215</Words>
  <Characters>1226</Characters>
  <Application>Microsoft Office Word</Application>
  <DocSecurity>0</DocSecurity>
  <Lines>10</Lines>
  <Paragraphs>2</Paragraphs>
  <ScaleCrop>false</ScaleCrop>
  <Company>Win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2021-03-25T14:04:00Z</dcterms:created>
  <dcterms:modified xsi:type="dcterms:W3CDTF">2024-05-16T07:29:00Z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B98422D8AE5F440E8557515457275136_13</vt:lpwstr>
  </property>
</Properties>
</file>